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13D6" w14:textId="77777777" w:rsidR="00D539BB" w:rsidRPr="004161C1" w:rsidRDefault="00D539BB" w:rsidP="00D539BB">
      <w:p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  <w:bookmarkStart w:id="0" w:name="_GoBack"/>
      <w:bookmarkEnd w:id="0"/>
      <w:r w:rsidRPr="004161C1">
        <w:rPr>
          <w:rFonts w:ascii="Arial" w:eastAsia="Calibri" w:hAnsi="Arial" w:cs="Arial"/>
          <w:sz w:val="22"/>
          <w:lang w:val="en-US" w:eastAsia="en-US"/>
        </w:rPr>
        <w:t>January 2019</w:t>
      </w:r>
    </w:p>
    <w:p w14:paraId="20D813D7" w14:textId="0D2005F7" w:rsidR="00D539BB" w:rsidRPr="004161C1" w:rsidRDefault="0016036E" w:rsidP="00D539BB">
      <w:p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  <w:r>
        <w:rPr>
          <w:rFonts w:ascii="Arial" w:eastAsia="Calibri" w:hAnsi="Arial" w:cs="Arial"/>
          <w:sz w:val="22"/>
          <w:lang w:val="en-US" w:eastAsia="en-US"/>
        </w:rPr>
        <w:t xml:space="preserve">Dear </w:t>
      </w:r>
      <w:r w:rsidRPr="0016036E">
        <w:rPr>
          <w:rFonts w:ascii="Arial" w:eastAsia="Calibri" w:hAnsi="Arial" w:cs="Arial"/>
          <w:sz w:val="22"/>
          <w:lang w:val="en-US" w:eastAsia="en-US"/>
        </w:rPr>
        <w:t>Customer:</w:t>
      </w:r>
    </w:p>
    <w:p w14:paraId="20D813D8" w14:textId="77777777" w:rsidR="00D539BB" w:rsidRPr="004161C1" w:rsidRDefault="00405AFC" w:rsidP="004161C1">
      <w:pPr>
        <w:rPr>
          <w:rFonts w:ascii="Arial" w:hAnsi="Arial" w:cs="Arial"/>
          <w:sz w:val="22"/>
        </w:rPr>
      </w:pPr>
      <w:r w:rsidRPr="004161C1">
        <w:rPr>
          <w:rFonts w:ascii="Arial" w:hAnsi="Arial" w:cs="Arial"/>
          <w:sz w:val="22"/>
        </w:rPr>
        <w:t>We are pleased to inform you that Fluzone Quadrivalent vaccine 0.5mL dose is newly approved to be used in children 6 months of age</w:t>
      </w:r>
      <w:r w:rsidR="00650359">
        <w:rPr>
          <w:rFonts w:ascii="Arial" w:hAnsi="Arial" w:cs="Arial"/>
          <w:sz w:val="22"/>
        </w:rPr>
        <w:t xml:space="preserve"> and older, effective January 23</w:t>
      </w:r>
      <w:r w:rsidRPr="004161C1">
        <w:rPr>
          <w:rFonts w:ascii="Arial" w:hAnsi="Arial" w:cs="Arial"/>
          <w:sz w:val="22"/>
        </w:rPr>
        <w:t>, 2019. This new option offers health care providers the simplicity of using the same 0.5mL dose for all eligible children when immunizing against the flu.</w:t>
      </w:r>
    </w:p>
    <w:p w14:paraId="20D813D9" w14:textId="77777777" w:rsidR="004161C1" w:rsidRPr="004161C1" w:rsidRDefault="004161C1" w:rsidP="004161C1">
      <w:pPr>
        <w:rPr>
          <w:rFonts w:ascii="Arial" w:hAnsi="Arial" w:cs="Arial"/>
          <w:sz w:val="22"/>
        </w:rPr>
      </w:pPr>
    </w:p>
    <w:p w14:paraId="20D813DA" w14:textId="77777777" w:rsidR="00D539BB" w:rsidRPr="004161C1" w:rsidRDefault="00B4307C" w:rsidP="00D539BB">
      <w:p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  <w:r w:rsidRPr="004161C1">
        <w:rPr>
          <w:rFonts w:ascii="Arial" w:eastAsia="Calibri" w:hAnsi="Arial" w:cs="Arial"/>
          <w:sz w:val="22"/>
          <w:lang w:val="en-US" w:eastAsia="en-US"/>
        </w:rPr>
        <w:t>Additional important information is provided below:</w:t>
      </w:r>
    </w:p>
    <w:p w14:paraId="20D813DB" w14:textId="77777777" w:rsidR="00004493" w:rsidRDefault="00405AFC" w:rsidP="00866878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  <w:r w:rsidRPr="004161C1">
        <w:rPr>
          <w:rFonts w:ascii="Arial" w:eastAsia="Calibri" w:hAnsi="Arial" w:cs="Arial"/>
          <w:sz w:val="22"/>
          <w:lang w:val="en-US" w:eastAsia="en-US"/>
        </w:rPr>
        <w:t xml:space="preserve">Fluzone </w:t>
      </w:r>
      <w:r w:rsidR="004161C1" w:rsidRPr="004161C1">
        <w:rPr>
          <w:rFonts w:ascii="Arial" w:eastAsia="Calibri" w:hAnsi="Arial" w:cs="Arial"/>
          <w:sz w:val="22"/>
          <w:lang w:val="en-US" w:eastAsia="en-US"/>
        </w:rPr>
        <w:t xml:space="preserve">Quadrivalent 0.5mL </w:t>
      </w:r>
      <w:r w:rsidR="00650359">
        <w:rPr>
          <w:rFonts w:ascii="Arial" w:eastAsia="Calibri" w:hAnsi="Arial" w:cs="Arial"/>
          <w:sz w:val="22"/>
          <w:lang w:val="en-US" w:eastAsia="en-US"/>
        </w:rPr>
        <w:t>dose</w:t>
      </w:r>
      <w:r w:rsidR="004161C1" w:rsidRPr="004161C1">
        <w:rPr>
          <w:rFonts w:ascii="Arial" w:eastAsia="Calibri" w:hAnsi="Arial" w:cs="Arial"/>
          <w:sz w:val="22"/>
          <w:lang w:val="en-US" w:eastAsia="en-US"/>
        </w:rPr>
        <w:t xml:space="preserve"> is currently available to reserve for the 2019-2020 influenza season.</w:t>
      </w:r>
    </w:p>
    <w:p w14:paraId="20D813DC" w14:textId="77777777" w:rsidR="00F91C7E" w:rsidRPr="00866878" w:rsidRDefault="00991BC3" w:rsidP="00991BC3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  <w:r w:rsidRPr="00991BC3">
        <w:rPr>
          <w:rFonts w:ascii="Arial" w:eastAsia="Calibri" w:hAnsi="Arial" w:cs="Arial"/>
          <w:sz w:val="22"/>
          <w:lang w:val="en-US" w:eastAsia="en-US"/>
        </w:rPr>
        <w:t>This approval is supported by clinical data from a Phase IV safety and immunogenicity study conducted in nearly 2,000 children, which demonstrated that one or two doses of 0.5 mL of vaccine in children 6 through 35 months of age had a safety profile that was comparable to one or two doses of 0.25 mL of vaccine with no new safety concerns observed, and induced a robust immune response.</w:t>
      </w:r>
    </w:p>
    <w:p w14:paraId="20D813DD" w14:textId="77777777" w:rsidR="00B4307C" w:rsidRPr="004161C1" w:rsidRDefault="00650359" w:rsidP="00B4307C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  <w:r>
        <w:rPr>
          <w:rFonts w:ascii="Arial" w:eastAsia="Calibri" w:hAnsi="Arial" w:cs="Arial"/>
          <w:sz w:val="22"/>
          <w:lang w:val="en-US" w:eastAsia="en-US"/>
        </w:rPr>
        <w:t>Fluzone Quadrivalent 0.25</w:t>
      </w:r>
      <w:r w:rsidR="00B4307C" w:rsidRPr="004161C1">
        <w:rPr>
          <w:rFonts w:ascii="Arial" w:eastAsia="Calibri" w:hAnsi="Arial" w:cs="Arial"/>
          <w:sz w:val="22"/>
          <w:lang w:val="en-US" w:eastAsia="en-US"/>
        </w:rPr>
        <w:t xml:space="preserve">mL </w:t>
      </w:r>
      <w:r>
        <w:rPr>
          <w:rFonts w:ascii="Arial" w:eastAsia="Calibri" w:hAnsi="Arial" w:cs="Arial"/>
          <w:sz w:val="22"/>
          <w:lang w:val="en-US" w:eastAsia="en-US"/>
        </w:rPr>
        <w:t>dose</w:t>
      </w:r>
      <w:r w:rsidR="00B4307C" w:rsidRPr="004161C1">
        <w:rPr>
          <w:rFonts w:ascii="Arial" w:eastAsia="Calibri" w:hAnsi="Arial" w:cs="Arial"/>
          <w:sz w:val="22"/>
          <w:lang w:val="en-US" w:eastAsia="en-US"/>
        </w:rPr>
        <w:t xml:space="preserve"> will still be available to order </w:t>
      </w:r>
      <w:r w:rsidR="00DF772A" w:rsidRPr="004161C1">
        <w:rPr>
          <w:rFonts w:ascii="Arial" w:eastAsia="Calibri" w:hAnsi="Arial" w:cs="Arial"/>
          <w:sz w:val="22"/>
          <w:lang w:val="en-US" w:eastAsia="en-US"/>
        </w:rPr>
        <w:t>for children ages 6-35 months for the 2019-2020 season.</w:t>
      </w:r>
    </w:p>
    <w:p w14:paraId="20D813DE" w14:textId="77777777" w:rsidR="00B205E9" w:rsidRPr="004161C1" w:rsidRDefault="000F36C4" w:rsidP="004161C1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  <w:r w:rsidRPr="004161C1">
        <w:rPr>
          <w:rFonts w:ascii="Arial" w:eastAsia="Calibri" w:hAnsi="Arial" w:cs="Arial"/>
          <w:sz w:val="22"/>
          <w:lang w:val="en-US" w:eastAsia="en-US"/>
        </w:rPr>
        <w:t>CPT codes and payer coverage will not be affected by this new approval.</w:t>
      </w:r>
    </w:p>
    <w:p w14:paraId="20D813DF" w14:textId="77777777" w:rsidR="004161C1" w:rsidRDefault="004161C1" w:rsidP="004161C1">
      <w:pPr>
        <w:rPr>
          <w:rFonts w:ascii="Arial" w:hAnsi="Arial" w:cs="Arial"/>
          <w:color w:val="000000"/>
          <w:sz w:val="22"/>
        </w:rPr>
      </w:pPr>
      <w:r w:rsidRPr="004161C1">
        <w:rPr>
          <w:rFonts w:ascii="Arial" w:hAnsi="Arial" w:cs="Arial"/>
          <w:color w:val="000000"/>
          <w:sz w:val="22"/>
        </w:rPr>
        <w:t>Sanofi Pasteur’s flu vaccine portfolio includes options to help protect all eligible patients from influenza. In addition to Fluzone Quadrivalent vaccine, the product portfolio includes Flublok</w:t>
      </w:r>
      <w:r w:rsidRPr="004161C1">
        <w:rPr>
          <w:rFonts w:ascii="Arial" w:hAnsi="Arial" w:cs="Arial"/>
          <w:color w:val="000000"/>
          <w:sz w:val="22"/>
          <w:vertAlign w:val="superscript"/>
        </w:rPr>
        <w:t>®</w:t>
      </w:r>
      <w:r w:rsidRPr="004161C1">
        <w:rPr>
          <w:rFonts w:ascii="Arial" w:hAnsi="Arial" w:cs="Arial"/>
          <w:color w:val="000000"/>
          <w:sz w:val="22"/>
        </w:rPr>
        <w:t xml:space="preserve"> Quadrivalent (Influenza Vaccine) and Fluzone</w:t>
      </w:r>
      <w:r w:rsidRPr="004161C1">
        <w:rPr>
          <w:rFonts w:ascii="Arial" w:hAnsi="Arial" w:cs="Arial"/>
          <w:color w:val="000000"/>
          <w:sz w:val="22"/>
          <w:vertAlign w:val="superscript"/>
        </w:rPr>
        <w:t>®</w:t>
      </w:r>
      <w:r w:rsidRPr="004161C1">
        <w:rPr>
          <w:rFonts w:ascii="Arial" w:hAnsi="Arial" w:cs="Arial"/>
          <w:color w:val="000000"/>
          <w:sz w:val="22"/>
        </w:rPr>
        <w:t xml:space="preserve"> High-Dose (Influenza Vaccine), the only two flu vaccines proven to help prevent more cases of flu in older adults, compared to their standard-dose flu vaccine comparators in randomized controlled trials.</w:t>
      </w:r>
    </w:p>
    <w:p w14:paraId="20D813E0" w14:textId="77777777" w:rsidR="00650359" w:rsidRDefault="00650359" w:rsidP="004161C1">
      <w:pPr>
        <w:rPr>
          <w:rFonts w:ascii="Arial" w:hAnsi="Arial" w:cs="Arial"/>
          <w:color w:val="000000"/>
          <w:sz w:val="22"/>
        </w:rPr>
      </w:pPr>
    </w:p>
    <w:p w14:paraId="20D813E1" w14:textId="77777777" w:rsidR="00650359" w:rsidRPr="004161C1" w:rsidRDefault="00650359" w:rsidP="004161C1">
      <w:pPr>
        <w:rPr>
          <w:rFonts w:ascii="Arial" w:eastAsia="Calibri" w:hAnsi="Arial" w:cs="Arial"/>
          <w:sz w:val="22"/>
        </w:rPr>
      </w:pPr>
      <w:r w:rsidRPr="00650359">
        <w:rPr>
          <w:rFonts w:ascii="Arial" w:eastAsia="Calibri" w:hAnsi="Arial" w:cs="Arial"/>
          <w:sz w:val="22"/>
          <w:lang w:val="en-US"/>
        </w:rPr>
        <w:t>In randomized controlled trials, the most common local and systemic adverse reactions to Flublok Quadrivalent and Fluzone High-Dose vaccines include pain at the injection site, headache and myalgia.</w:t>
      </w:r>
    </w:p>
    <w:p w14:paraId="20D813E2" w14:textId="77777777" w:rsidR="005D54E9" w:rsidRDefault="005D54E9" w:rsidP="004161C1">
      <w:pPr>
        <w:spacing w:after="200" w:line="276" w:lineRule="auto"/>
        <w:rPr>
          <w:rFonts w:ascii="Arial" w:eastAsia="Calibri" w:hAnsi="Arial" w:cs="Arial"/>
          <w:sz w:val="22"/>
          <w:lang w:val="en-US" w:eastAsia="en-US"/>
        </w:rPr>
      </w:pPr>
    </w:p>
    <w:p w14:paraId="20D813E3" w14:textId="77777777" w:rsidR="005D54E9" w:rsidRPr="005D54E9" w:rsidRDefault="005D54E9" w:rsidP="005D54E9">
      <w:pPr>
        <w:spacing w:after="200" w:line="276" w:lineRule="auto"/>
        <w:rPr>
          <w:rFonts w:ascii="Arial" w:eastAsia="Calibri" w:hAnsi="Arial" w:cs="Arial"/>
          <w:b/>
          <w:sz w:val="22"/>
          <w:lang w:val="en-US"/>
        </w:rPr>
      </w:pPr>
      <w:r w:rsidRPr="005D54E9">
        <w:rPr>
          <w:rFonts w:ascii="Arial" w:eastAsia="Calibri" w:hAnsi="Arial" w:cs="Arial"/>
          <w:b/>
          <w:sz w:val="22"/>
          <w:lang w:val="en-US"/>
        </w:rPr>
        <w:t>INDICATION FOR FLUBLOK QUADRIVALENT, FLUZONE QUADRIVALENT, AND FLUZONE HIGH-DOSE VACCINES</w:t>
      </w:r>
    </w:p>
    <w:p w14:paraId="20D813E4" w14:textId="77777777" w:rsidR="005D54E9" w:rsidRPr="005D54E9" w:rsidRDefault="005D54E9" w:rsidP="005D54E9">
      <w:pPr>
        <w:spacing w:after="200" w:line="276" w:lineRule="auto"/>
        <w:rPr>
          <w:rFonts w:ascii="Arial" w:eastAsia="Calibri" w:hAnsi="Arial" w:cs="Arial"/>
          <w:sz w:val="22"/>
          <w:lang w:val="en-US"/>
        </w:rPr>
      </w:pPr>
      <w:r w:rsidRPr="005D54E9">
        <w:rPr>
          <w:rFonts w:ascii="Arial" w:eastAsia="Calibri" w:hAnsi="Arial" w:cs="Arial"/>
          <w:sz w:val="22"/>
          <w:lang w:val="en-US"/>
        </w:rPr>
        <w:t>Flublok Quadrivalent, Fluzone Quadrivalent, and Fluzone High-Dose vaccines are indicated for active immunization for the prevention of influenza disease caused by influenza A subtype viruses and type B virus(es) contained in each vaccine. Flublok Quadrivalent vaccine is approved for use in persons 18 years of age and older. Fluzone Quadrivalent vaccine is approved for use in persons 6 months of age and older. Fluzone High-Dose vaccine is approved for use in persons 65 years of age and older.</w:t>
      </w:r>
    </w:p>
    <w:p w14:paraId="20D813E5" w14:textId="77777777" w:rsidR="003744A7" w:rsidRPr="003744A7" w:rsidRDefault="003744A7" w:rsidP="003744A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744A7">
        <w:rPr>
          <w:rFonts w:ascii="Arial" w:hAnsi="Arial" w:cs="Arial"/>
          <w:b/>
          <w:bCs/>
          <w:sz w:val="22"/>
          <w:szCs w:val="22"/>
          <w:lang w:val="en-US"/>
        </w:rPr>
        <w:t>IMPORTANT SAFETY INFORMATION FOR FLUBLOK QUADRIVALENT,</w:t>
      </w:r>
      <w:r w:rsidR="00E510B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3744A7">
        <w:rPr>
          <w:rFonts w:ascii="Arial" w:hAnsi="Arial" w:cs="Arial"/>
          <w:b/>
          <w:bCs/>
          <w:sz w:val="22"/>
          <w:szCs w:val="22"/>
          <w:lang w:val="en-US"/>
        </w:rPr>
        <w:t>FLUZONE QUADRIVALENT, AND FLUZONE HIGH-DOSE VACCINES</w:t>
      </w:r>
    </w:p>
    <w:p w14:paraId="20D813E6" w14:textId="77777777" w:rsidR="003744A7" w:rsidRDefault="003744A7" w:rsidP="003744A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813E7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Flublok Quadrivalent, Fluzone Quadrivalent, and Fluzone High-Dose vaccines should not be</w:t>
      </w:r>
    </w:p>
    <w:p w14:paraId="20D813E8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administered to anyone who has had a severe allergic reaction (eg, anaphylaxis) to any component</w:t>
      </w:r>
      <w:r w:rsidR="007B76A1">
        <w:rPr>
          <w:rFonts w:ascii="Arial" w:hAnsi="Arial" w:cs="Arial"/>
          <w:bCs/>
          <w:sz w:val="22"/>
          <w:szCs w:val="22"/>
          <w:lang w:val="en-US"/>
        </w:rPr>
        <w:t xml:space="preserve"> of the vaccine</w:t>
      </w:r>
    </w:p>
    <w:p w14:paraId="20D813E9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(including egg protein for Fluzone Quadrivalent an</w:t>
      </w:r>
      <w:r w:rsidR="007B76A1">
        <w:rPr>
          <w:rFonts w:ascii="Arial" w:hAnsi="Arial" w:cs="Arial"/>
          <w:bCs/>
          <w:sz w:val="22"/>
          <w:szCs w:val="22"/>
          <w:lang w:val="en-US"/>
        </w:rPr>
        <w:t>d Fluzone High-Dose vaccines) after a</w:t>
      </w:r>
      <w:r w:rsidRPr="003744A7">
        <w:rPr>
          <w:rFonts w:ascii="Arial" w:hAnsi="Arial" w:cs="Arial"/>
          <w:bCs/>
          <w:sz w:val="22"/>
          <w:szCs w:val="22"/>
          <w:lang w:val="en-US"/>
        </w:rPr>
        <w:t xml:space="preserve"> previous dose</w:t>
      </w:r>
    </w:p>
    <w:p w14:paraId="20D813EA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of the respective vaccine. In addition, Fluzone Quadrivalent and Fluzone High-Dose vaccines should</w:t>
      </w:r>
    </w:p>
    <w:p w14:paraId="20D813EB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not be administered to anyone who has h</w:t>
      </w:r>
      <w:r w:rsidR="007B76A1">
        <w:rPr>
          <w:rFonts w:ascii="Arial" w:hAnsi="Arial" w:cs="Arial"/>
          <w:bCs/>
          <w:sz w:val="22"/>
          <w:szCs w:val="22"/>
          <w:lang w:val="en-US"/>
        </w:rPr>
        <w:t>ad a severe allergic reaction after</w:t>
      </w:r>
      <w:r w:rsidRPr="003744A7">
        <w:rPr>
          <w:rFonts w:ascii="Arial" w:hAnsi="Arial" w:cs="Arial"/>
          <w:bCs/>
          <w:sz w:val="22"/>
          <w:szCs w:val="22"/>
          <w:lang w:val="en-US"/>
        </w:rPr>
        <w:t xml:space="preserve"> a previous dose of any</w:t>
      </w:r>
    </w:p>
    <w:p w14:paraId="20D813EC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influenza vaccine.</w:t>
      </w:r>
    </w:p>
    <w:p w14:paraId="20D813ED" w14:textId="77777777" w:rsidR="00E510B3" w:rsidRDefault="00E510B3" w:rsidP="003744A7">
      <w:pPr>
        <w:rPr>
          <w:rFonts w:ascii="Arial" w:hAnsi="Arial" w:cs="Arial"/>
          <w:bCs/>
          <w:sz w:val="22"/>
          <w:szCs w:val="22"/>
          <w:lang w:val="en-US"/>
        </w:rPr>
      </w:pPr>
    </w:p>
    <w:p w14:paraId="20D813EE" w14:textId="77777777" w:rsidR="00E510B3" w:rsidRDefault="00E510B3" w:rsidP="003744A7">
      <w:pPr>
        <w:rPr>
          <w:rFonts w:ascii="Arial" w:hAnsi="Arial" w:cs="Arial"/>
          <w:bCs/>
          <w:sz w:val="22"/>
          <w:szCs w:val="22"/>
          <w:lang w:val="en-US"/>
        </w:rPr>
      </w:pPr>
    </w:p>
    <w:p w14:paraId="20D813EF" w14:textId="77777777" w:rsidR="00E510B3" w:rsidRDefault="00E510B3" w:rsidP="003744A7">
      <w:pPr>
        <w:rPr>
          <w:rFonts w:ascii="Arial" w:hAnsi="Arial" w:cs="Arial"/>
          <w:bCs/>
          <w:sz w:val="22"/>
          <w:szCs w:val="22"/>
          <w:lang w:val="en-US"/>
        </w:rPr>
      </w:pPr>
    </w:p>
    <w:p w14:paraId="20D813F0" w14:textId="77777777" w:rsidR="00EA7EA5" w:rsidRDefault="00EA7EA5" w:rsidP="003744A7">
      <w:pPr>
        <w:rPr>
          <w:rFonts w:ascii="Arial" w:hAnsi="Arial" w:cs="Arial"/>
          <w:bCs/>
          <w:sz w:val="22"/>
          <w:szCs w:val="22"/>
          <w:lang w:val="en-US"/>
        </w:rPr>
      </w:pPr>
    </w:p>
    <w:p w14:paraId="20D813F1" w14:textId="77777777" w:rsidR="00E510B3" w:rsidRDefault="00E510B3" w:rsidP="003744A7">
      <w:pPr>
        <w:rPr>
          <w:rFonts w:ascii="Arial" w:hAnsi="Arial" w:cs="Arial"/>
          <w:bCs/>
          <w:sz w:val="22"/>
          <w:szCs w:val="22"/>
          <w:lang w:val="en-US"/>
        </w:rPr>
      </w:pPr>
    </w:p>
    <w:p w14:paraId="20D813F2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lastRenderedPageBreak/>
        <w:t>If Guillain-Barré syndrome has occurred within 6 weeks following previous influenza vaccination,</w:t>
      </w:r>
    </w:p>
    <w:p w14:paraId="20D813F3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the decision to give Flublok Quadrivalent, Fluzone Quadrivalent, or Fluzone High-Dose vaccine should</w:t>
      </w:r>
    </w:p>
    <w:p w14:paraId="20D813F4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be based on careful consideration of the potential benefits and risks.</w:t>
      </w:r>
    </w:p>
    <w:p w14:paraId="20D813F5" w14:textId="77777777" w:rsidR="00E510B3" w:rsidRDefault="00E510B3" w:rsidP="003744A7">
      <w:pPr>
        <w:rPr>
          <w:rFonts w:ascii="Arial" w:hAnsi="Arial" w:cs="Arial"/>
          <w:bCs/>
          <w:sz w:val="22"/>
          <w:szCs w:val="22"/>
          <w:lang w:val="en-US"/>
        </w:rPr>
      </w:pPr>
    </w:p>
    <w:p w14:paraId="20D813F6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In adults, the most common local and systemic adverse reactions to Flublok Quadrivalent,</w:t>
      </w:r>
    </w:p>
    <w:p w14:paraId="20D813F7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Fluzone Quadrivalent, and Fluzone High-Dose vaccines include pain at the injection site; headache</w:t>
      </w:r>
    </w:p>
    <w:p w14:paraId="20D813F8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and myalgia. In children, the most common reactions to Fluzone Quadrivalent vaccine include pain,</w:t>
      </w:r>
    </w:p>
    <w:p w14:paraId="20D813F9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erythema, and swelling at the injection site; myalgia, malaise, and headache (irritability, abnormal</w:t>
      </w:r>
    </w:p>
    <w:p w14:paraId="20D813FA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crying, drowsiness, appetite loss, vomiting, and fever in young children). Other adverse reactions</w:t>
      </w:r>
    </w:p>
    <w:p w14:paraId="20D813FB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to these vaccines may occur. Vaccination with Flublok Quadrivalent, Fluzone Quadrivalent, or</w:t>
      </w:r>
    </w:p>
    <w:p w14:paraId="20D813FC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Fluzone High-Dose vaccine may not protect all individuals.</w:t>
      </w:r>
    </w:p>
    <w:p w14:paraId="20D813FD" w14:textId="77777777" w:rsidR="00E510B3" w:rsidRDefault="00E510B3" w:rsidP="003744A7">
      <w:pPr>
        <w:rPr>
          <w:rFonts w:ascii="Arial" w:hAnsi="Arial" w:cs="Arial"/>
          <w:bCs/>
          <w:sz w:val="22"/>
          <w:szCs w:val="22"/>
          <w:lang w:val="en-US"/>
        </w:rPr>
      </w:pPr>
    </w:p>
    <w:p w14:paraId="20D813FE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 xml:space="preserve">Before administering </w:t>
      </w:r>
      <w:hyperlink r:id="rId10" w:history="1">
        <w:r w:rsidRPr="003762A8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Flublok Quadrivalent</w:t>
        </w:r>
      </w:hyperlink>
      <w:r w:rsidRPr="003744A7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hyperlink r:id="rId11" w:history="1">
        <w:r w:rsidRPr="003762A8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Fluzone Quadrivalent</w:t>
        </w:r>
      </w:hyperlink>
      <w:r w:rsidRPr="003744A7">
        <w:rPr>
          <w:rFonts w:ascii="Arial" w:hAnsi="Arial" w:cs="Arial"/>
          <w:bCs/>
          <w:sz w:val="22"/>
          <w:szCs w:val="22"/>
          <w:lang w:val="en-US"/>
        </w:rPr>
        <w:t xml:space="preserve">, or </w:t>
      </w:r>
      <w:hyperlink r:id="rId12" w:history="1">
        <w:r w:rsidRPr="003762A8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Fluzone High-Dose</w:t>
        </w:r>
      </w:hyperlink>
      <w:r w:rsidRPr="003744A7">
        <w:rPr>
          <w:rFonts w:ascii="Arial" w:hAnsi="Arial" w:cs="Arial"/>
          <w:bCs/>
          <w:sz w:val="22"/>
          <w:szCs w:val="22"/>
          <w:lang w:val="en-US"/>
        </w:rPr>
        <w:t xml:space="preserve"> vaccine,</w:t>
      </w:r>
    </w:p>
    <w:p w14:paraId="20D813FF" w14:textId="77777777" w:rsidR="003744A7" w:rsidRPr="003744A7" w:rsidRDefault="003744A7" w:rsidP="003744A7">
      <w:pPr>
        <w:rPr>
          <w:rFonts w:ascii="Arial" w:hAnsi="Arial" w:cs="Arial"/>
          <w:bCs/>
          <w:sz w:val="22"/>
          <w:szCs w:val="22"/>
          <w:lang w:val="en-US"/>
        </w:rPr>
      </w:pPr>
      <w:r w:rsidRPr="003744A7">
        <w:rPr>
          <w:rFonts w:ascii="Arial" w:hAnsi="Arial" w:cs="Arial"/>
          <w:bCs/>
          <w:sz w:val="22"/>
          <w:szCs w:val="22"/>
          <w:lang w:val="en-US"/>
        </w:rPr>
        <w:t>please see accompanying full Prescribing Information.</w:t>
      </w:r>
    </w:p>
    <w:p w14:paraId="20D81400" w14:textId="77777777" w:rsidR="000E18DC" w:rsidRDefault="000E18DC" w:rsidP="00D539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20D81401" w14:textId="77777777" w:rsidR="00650359" w:rsidRDefault="00650359" w:rsidP="00D539BB">
      <w:pPr>
        <w:spacing w:after="200" w:line="276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4161C1">
        <w:rPr>
          <w:rFonts w:ascii="Arial" w:eastAsia="Calibri" w:hAnsi="Arial" w:cs="Arial"/>
          <w:sz w:val="22"/>
          <w:lang w:val="en-US" w:eastAsia="en-US"/>
        </w:rPr>
        <w:t>Should you have any additional questions, please contact Sanofi Pasteur at 1-800-VACCINE (1-800-822-2463).</w:t>
      </w:r>
    </w:p>
    <w:p w14:paraId="20D81402" w14:textId="77777777" w:rsidR="00D539BB" w:rsidRDefault="00D539BB" w:rsidP="00D539BB">
      <w:pPr>
        <w:spacing w:after="200" w:line="276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4161C1">
        <w:rPr>
          <w:rFonts w:ascii="Arial" w:eastAsia="Calibri" w:hAnsi="Arial" w:cs="Arial"/>
          <w:sz w:val="22"/>
          <w:szCs w:val="22"/>
          <w:lang w:val="en-US" w:eastAsia="en-US"/>
        </w:rPr>
        <w:t>Regards,</w:t>
      </w:r>
    </w:p>
    <w:p w14:paraId="20D81403" w14:textId="77777777" w:rsidR="00D539BB" w:rsidRPr="00EA7EA5" w:rsidRDefault="00EA7EA5" w:rsidP="00EA7EA5">
      <w:pPr>
        <w:spacing w:after="200" w:line="276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20D81409" wp14:editId="20D8140A">
            <wp:extent cx="2160465" cy="73364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s si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11" cy="73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81404" w14:textId="77777777" w:rsidR="00D539BB" w:rsidRDefault="00D539BB" w:rsidP="00D539BB">
      <w:pPr>
        <w:rPr>
          <w:rFonts w:ascii="Arial" w:eastAsia="Calibri" w:hAnsi="Arial" w:cs="Arial"/>
          <w:sz w:val="22"/>
          <w:szCs w:val="20"/>
          <w:lang w:val="en-US" w:eastAsia="en-US"/>
        </w:rPr>
      </w:pPr>
      <w:r>
        <w:rPr>
          <w:rFonts w:ascii="Arial" w:eastAsia="Calibri" w:hAnsi="Arial" w:cs="Arial"/>
          <w:sz w:val="22"/>
          <w:szCs w:val="20"/>
          <w:lang w:val="en-US" w:eastAsia="en-US"/>
        </w:rPr>
        <w:t>Jennifer Havens</w:t>
      </w:r>
    </w:p>
    <w:p w14:paraId="20D81405" w14:textId="77777777" w:rsidR="00D539BB" w:rsidRPr="00A521BF" w:rsidRDefault="00D539BB" w:rsidP="00D539BB">
      <w:pPr>
        <w:rPr>
          <w:rFonts w:ascii="Arial" w:eastAsia="Calibri" w:hAnsi="Arial" w:cs="Arial"/>
          <w:sz w:val="22"/>
          <w:szCs w:val="20"/>
          <w:lang w:val="en-US" w:eastAsia="en-US"/>
        </w:rPr>
      </w:pPr>
      <w:r>
        <w:rPr>
          <w:rFonts w:ascii="Arial" w:eastAsia="Calibri" w:hAnsi="Arial" w:cs="Arial"/>
          <w:sz w:val="22"/>
          <w:szCs w:val="20"/>
          <w:lang w:val="en-US" w:eastAsia="en-US"/>
        </w:rPr>
        <w:t xml:space="preserve">Head of Fluzone </w:t>
      </w:r>
      <w:r w:rsidR="00405AFC">
        <w:rPr>
          <w:rFonts w:ascii="Arial" w:eastAsia="Calibri" w:hAnsi="Arial" w:cs="Arial"/>
          <w:sz w:val="22"/>
          <w:szCs w:val="20"/>
          <w:lang w:val="en-US" w:eastAsia="en-US"/>
        </w:rPr>
        <w:t>Quadrivalent</w:t>
      </w:r>
      <w:r>
        <w:rPr>
          <w:rFonts w:ascii="Arial" w:eastAsia="Calibri" w:hAnsi="Arial" w:cs="Arial"/>
          <w:sz w:val="22"/>
          <w:szCs w:val="20"/>
          <w:lang w:val="en-US" w:eastAsia="en-US"/>
        </w:rPr>
        <w:t xml:space="preserve"> Marketing</w:t>
      </w:r>
    </w:p>
    <w:p w14:paraId="20D81406" w14:textId="77777777" w:rsidR="00D539BB" w:rsidRPr="007103CD" w:rsidRDefault="00D539BB" w:rsidP="00D539BB">
      <w:pPr>
        <w:rPr>
          <w:rFonts w:ascii="Arial" w:hAnsi="Arial" w:cs="Arial"/>
          <w:sz w:val="22"/>
          <w:szCs w:val="20"/>
          <w:vertAlign w:val="superscript"/>
          <w:lang w:val="en-US"/>
        </w:rPr>
      </w:pPr>
    </w:p>
    <w:p w14:paraId="20D81407" w14:textId="77777777" w:rsidR="00D539BB" w:rsidRPr="007103CD" w:rsidRDefault="00D539BB" w:rsidP="00D539BB">
      <w:pPr>
        <w:rPr>
          <w:rFonts w:ascii="Arial" w:hAnsi="Arial" w:cs="Arial"/>
          <w:sz w:val="22"/>
          <w:szCs w:val="20"/>
          <w:lang w:val="en-US"/>
        </w:rPr>
      </w:pPr>
    </w:p>
    <w:p w14:paraId="20D81408" w14:textId="77777777" w:rsidR="003E2C65" w:rsidRPr="00E510B3" w:rsidRDefault="00E510B3">
      <w:pPr>
        <w:rPr>
          <w:rFonts w:ascii="Arial" w:hAnsi="Arial" w:cs="Arial"/>
          <w:sz w:val="22"/>
        </w:rPr>
      </w:pPr>
      <w:r w:rsidRPr="00E510B3">
        <w:rPr>
          <w:rFonts w:ascii="Arial" w:hAnsi="Arial" w:cs="Arial"/>
          <w:sz w:val="22"/>
          <w:lang w:val="en-US"/>
        </w:rPr>
        <w:t>SAUS.SFLU.19.01.0227</w:t>
      </w:r>
    </w:p>
    <w:sectPr w:rsidR="003E2C65" w:rsidRPr="00E510B3" w:rsidSect="00B205E9">
      <w:headerReference w:type="default" r:id="rId14"/>
      <w:footerReference w:type="default" r:id="rId15"/>
      <w:headerReference w:type="first" r:id="rId16"/>
      <w:footerReference w:type="first" r:id="rId17"/>
      <w:pgSz w:w="12242" w:h="15842" w:code="1"/>
      <w:pgMar w:top="432" w:right="432" w:bottom="432" w:left="432" w:header="562" w:footer="2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F0770" w14:textId="77777777" w:rsidR="00637443" w:rsidRDefault="00637443">
      <w:r>
        <w:separator/>
      </w:r>
    </w:p>
  </w:endnote>
  <w:endnote w:type="continuationSeparator" w:id="0">
    <w:p w14:paraId="3D3633E2" w14:textId="77777777" w:rsidR="00637443" w:rsidRDefault="00637443">
      <w:r>
        <w:continuationSeparator/>
      </w:r>
    </w:p>
  </w:endnote>
  <w:endnote w:type="continuationNotice" w:id="1">
    <w:p w14:paraId="0C79BEDA" w14:textId="77777777" w:rsidR="00637443" w:rsidRDefault="00637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81412" w14:textId="77777777" w:rsidR="00650359" w:rsidRPr="00DB4CFD" w:rsidRDefault="00650359" w:rsidP="00B205E9">
    <w:pPr>
      <w:pStyle w:val="Paragraphestandard"/>
      <w:ind w:left="851" w:right="851"/>
      <w:jc w:val="center"/>
      <w:rPr>
        <w:rFonts w:ascii="Arial" w:hAnsi="Arial" w:cs="Arial"/>
        <w:color w:val="444492"/>
        <w:sz w:val="15"/>
        <w:szCs w:val="15"/>
        <w:lang w:val="en-US"/>
      </w:rPr>
    </w:pPr>
    <w:r w:rsidRPr="00CF2E1F">
      <w:rPr>
        <w:rFonts w:ascii="Arial" w:hAnsi="Arial" w:cs="Arial"/>
        <w:color w:val="444492"/>
        <w:sz w:val="15"/>
        <w:szCs w:val="15"/>
        <w:lang w:val="en-US"/>
      </w:rPr>
      <w:t>Discovery Drive, Swiftwater, Pennsylvania 18370</w:t>
    </w:r>
    <w:r>
      <w:rPr>
        <w:rFonts w:ascii="Arial" w:hAnsi="Arial" w:cs="Arial"/>
        <w:color w:val="444492"/>
        <w:sz w:val="15"/>
        <w:szCs w:val="15"/>
        <w:lang w:val="en-US"/>
      </w:rPr>
      <w:t xml:space="preserve"> - </w:t>
    </w:r>
    <w:r w:rsidRPr="00DB4CFD">
      <w:rPr>
        <w:rFonts w:ascii="Arial" w:hAnsi="Arial" w:cs="Arial"/>
        <w:color w:val="444492"/>
        <w:sz w:val="15"/>
        <w:szCs w:val="15"/>
        <w:lang w:val="en-US"/>
      </w:rPr>
      <w:t xml:space="preserve">Tel.: </w:t>
    </w:r>
    <w:r>
      <w:rPr>
        <w:rFonts w:ascii="Arial" w:hAnsi="Arial" w:cs="Arial"/>
        <w:color w:val="444492"/>
        <w:sz w:val="15"/>
        <w:szCs w:val="15"/>
        <w:lang w:val="en-US"/>
      </w:rPr>
      <w:t>1-800-VACCINE (1-800-822-2463)</w:t>
    </w:r>
    <w:r w:rsidRPr="00DB4CFD">
      <w:rPr>
        <w:rFonts w:ascii="Arial" w:hAnsi="Arial" w:cs="Arial"/>
        <w:color w:val="444492"/>
        <w:sz w:val="15"/>
        <w:szCs w:val="15"/>
        <w:lang w:val="en-US"/>
      </w:rPr>
      <w:t xml:space="preserve"> - www.sanofipasteur.us</w:t>
    </w:r>
  </w:p>
  <w:p w14:paraId="20D81413" w14:textId="77777777" w:rsidR="00650359" w:rsidRDefault="00650359" w:rsidP="00B205E9">
    <w:pPr>
      <w:pStyle w:val="Paragraphestandard"/>
      <w:ind w:left="851" w:right="851"/>
      <w:jc w:val="center"/>
      <w:rPr>
        <w:rFonts w:ascii="Arial" w:hAnsi="Arial" w:cs="Arial"/>
        <w:color w:val="444492"/>
        <w:sz w:val="10"/>
        <w:szCs w:val="10"/>
      </w:rPr>
    </w:pPr>
    <w:r w:rsidRPr="006E4920">
      <w:rPr>
        <w:rFonts w:ascii="Arial" w:hAnsi="Arial" w:cs="Arial"/>
        <w:color w:val="444492"/>
        <w:sz w:val="10"/>
        <w:szCs w:val="10"/>
      </w:rPr>
      <w:t>SANOFI</w:t>
    </w:r>
    <w:r>
      <w:rPr>
        <w:rFonts w:ascii="Arial" w:hAnsi="Arial" w:cs="Arial"/>
        <w:color w:val="444492"/>
        <w:sz w:val="10"/>
        <w:szCs w:val="10"/>
      </w:rPr>
      <w:t xml:space="preserve"> PASTEUR</w:t>
    </w:r>
    <w:r w:rsidRPr="006E4920">
      <w:rPr>
        <w:rFonts w:ascii="Arial" w:hAnsi="Arial" w:cs="Arial"/>
        <w:color w:val="444492"/>
        <w:sz w:val="10"/>
        <w:szCs w:val="10"/>
      </w:rPr>
      <w:t xml:space="preserve"> </w:t>
    </w:r>
    <w:r>
      <w:rPr>
        <w:rFonts w:ascii="Arial" w:hAnsi="Arial" w:cs="Arial"/>
        <w:color w:val="444492"/>
        <w:sz w:val="10"/>
        <w:szCs w:val="10"/>
      </w:rPr>
      <w:t>Inc.</w:t>
    </w:r>
  </w:p>
  <w:p w14:paraId="20D81414" w14:textId="77777777" w:rsidR="00650359" w:rsidRDefault="00650359" w:rsidP="00B205E9">
    <w:pPr>
      <w:pStyle w:val="Paragraphestandard"/>
      <w:ind w:right="851"/>
      <w:rPr>
        <w:rFonts w:ascii="Arial" w:hAnsi="Arial" w:cs="Arial"/>
        <w:color w:val="444492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81416" w14:textId="77777777" w:rsidR="00650359" w:rsidRPr="00DB4CFD" w:rsidRDefault="00650359" w:rsidP="00B205E9">
    <w:pPr>
      <w:pStyle w:val="Paragraphestandard"/>
      <w:ind w:left="851" w:right="851"/>
      <w:jc w:val="center"/>
      <w:rPr>
        <w:rFonts w:ascii="Arial" w:hAnsi="Arial" w:cs="Arial"/>
        <w:color w:val="444492"/>
        <w:sz w:val="15"/>
        <w:szCs w:val="15"/>
        <w:lang w:val="en-US"/>
      </w:rPr>
    </w:pPr>
    <w:r w:rsidRPr="00CF2E1F">
      <w:rPr>
        <w:rFonts w:ascii="Arial" w:hAnsi="Arial" w:cs="Arial"/>
        <w:color w:val="444492"/>
        <w:sz w:val="15"/>
        <w:szCs w:val="15"/>
        <w:lang w:val="en-US"/>
      </w:rPr>
      <w:t>Discovery Drive, Swiftwater, Pennsylvania 18370</w:t>
    </w:r>
    <w:r>
      <w:rPr>
        <w:rFonts w:ascii="Arial" w:hAnsi="Arial" w:cs="Arial"/>
        <w:color w:val="444492"/>
        <w:sz w:val="15"/>
        <w:szCs w:val="15"/>
        <w:lang w:val="en-US"/>
      </w:rPr>
      <w:t xml:space="preserve"> - </w:t>
    </w:r>
    <w:r w:rsidRPr="00DB4CFD">
      <w:rPr>
        <w:rFonts w:ascii="Arial" w:hAnsi="Arial" w:cs="Arial"/>
        <w:color w:val="444492"/>
        <w:sz w:val="15"/>
        <w:szCs w:val="15"/>
        <w:lang w:val="en-US"/>
      </w:rPr>
      <w:t xml:space="preserve">Tel.: </w:t>
    </w:r>
    <w:r>
      <w:rPr>
        <w:rFonts w:ascii="Arial" w:hAnsi="Arial" w:cs="Arial"/>
        <w:color w:val="444492"/>
        <w:sz w:val="15"/>
        <w:szCs w:val="15"/>
        <w:lang w:val="en-US"/>
      </w:rPr>
      <w:t>1-800-VACCINE (1-800-822-2463)</w:t>
    </w:r>
    <w:r w:rsidRPr="00DB4CFD">
      <w:rPr>
        <w:rFonts w:ascii="Arial" w:hAnsi="Arial" w:cs="Arial"/>
        <w:color w:val="444492"/>
        <w:sz w:val="15"/>
        <w:szCs w:val="15"/>
        <w:lang w:val="en-US"/>
      </w:rPr>
      <w:t xml:space="preserve"> - www.sanofipasteur.us</w:t>
    </w:r>
  </w:p>
  <w:p w14:paraId="20D81417" w14:textId="77777777" w:rsidR="00650359" w:rsidRDefault="00650359" w:rsidP="00B205E9">
    <w:pPr>
      <w:pStyle w:val="Paragraphestandard"/>
      <w:ind w:left="851" w:right="851"/>
      <w:jc w:val="center"/>
      <w:rPr>
        <w:rFonts w:ascii="Arial" w:hAnsi="Arial" w:cs="Arial"/>
        <w:color w:val="444492"/>
        <w:sz w:val="10"/>
        <w:szCs w:val="10"/>
      </w:rPr>
    </w:pPr>
    <w:r w:rsidRPr="006E4920">
      <w:rPr>
        <w:rFonts w:ascii="Arial" w:hAnsi="Arial" w:cs="Arial"/>
        <w:color w:val="444492"/>
        <w:sz w:val="10"/>
        <w:szCs w:val="10"/>
      </w:rPr>
      <w:t>SANOFI</w:t>
    </w:r>
    <w:r>
      <w:rPr>
        <w:rFonts w:ascii="Arial" w:hAnsi="Arial" w:cs="Arial"/>
        <w:color w:val="444492"/>
        <w:sz w:val="10"/>
        <w:szCs w:val="10"/>
      </w:rPr>
      <w:t xml:space="preserve"> PASTEUR</w:t>
    </w:r>
    <w:r w:rsidRPr="006E4920">
      <w:rPr>
        <w:rFonts w:ascii="Arial" w:hAnsi="Arial" w:cs="Arial"/>
        <w:color w:val="444492"/>
        <w:sz w:val="10"/>
        <w:szCs w:val="10"/>
      </w:rPr>
      <w:t xml:space="preserve"> </w:t>
    </w:r>
    <w:r>
      <w:rPr>
        <w:rFonts w:ascii="Arial" w:hAnsi="Arial" w:cs="Arial"/>
        <w:color w:val="444492"/>
        <w:sz w:val="10"/>
        <w:szCs w:val="10"/>
      </w:rPr>
      <w:t>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B8F9E" w14:textId="77777777" w:rsidR="00637443" w:rsidRDefault="00637443">
      <w:r>
        <w:separator/>
      </w:r>
    </w:p>
  </w:footnote>
  <w:footnote w:type="continuationSeparator" w:id="0">
    <w:p w14:paraId="25E10BE7" w14:textId="77777777" w:rsidR="00637443" w:rsidRDefault="00637443">
      <w:r>
        <w:continuationSeparator/>
      </w:r>
    </w:p>
  </w:footnote>
  <w:footnote w:type="continuationNotice" w:id="1">
    <w:p w14:paraId="1B030EC5" w14:textId="77777777" w:rsidR="00637443" w:rsidRDefault="006374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81411" w14:textId="77777777" w:rsidR="00650359" w:rsidRDefault="00650359" w:rsidP="00B205E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0D81418" wp14:editId="20D81419">
          <wp:extent cx="6124575" cy="762000"/>
          <wp:effectExtent l="0" t="0" r="9525" b="0"/>
          <wp:docPr id="1" name="Picture 2" descr="Sanofi Pasteur - En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ofi Pasteur - En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81415" w14:textId="77777777" w:rsidR="00650359" w:rsidRPr="00A76445" w:rsidRDefault="00650359" w:rsidP="00B205E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0D8141A" wp14:editId="20D8141B">
          <wp:extent cx="6124575" cy="762000"/>
          <wp:effectExtent l="0" t="0" r="9525" b="0"/>
          <wp:docPr id="7" name="Picture 2" descr="Sanofi Pasteur - En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ofi Pasteur - En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65F6"/>
    <w:multiLevelType w:val="hybridMultilevel"/>
    <w:tmpl w:val="AF2A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424"/>
    <w:multiLevelType w:val="hybridMultilevel"/>
    <w:tmpl w:val="48E83CD6"/>
    <w:lvl w:ilvl="0" w:tplc="3C142C5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BB"/>
    <w:rsid w:val="00004493"/>
    <w:rsid w:val="00005CA7"/>
    <w:rsid w:val="000E18DC"/>
    <w:rsid w:val="000F36C4"/>
    <w:rsid w:val="00135D24"/>
    <w:rsid w:val="0016036E"/>
    <w:rsid w:val="00206DCE"/>
    <w:rsid w:val="003744A7"/>
    <w:rsid w:val="003762A8"/>
    <w:rsid w:val="003A0FED"/>
    <w:rsid w:val="003C52C5"/>
    <w:rsid w:val="003E2C65"/>
    <w:rsid w:val="00405AFC"/>
    <w:rsid w:val="004161C1"/>
    <w:rsid w:val="005D54E9"/>
    <w:rsid w:val="00637443"/>
    <w:rsid w:val="00650359"/>
    <w:rsid w:val="00697758"/>
    <w:rsid w:val="006F31A9"/>
    <w:rsid w:val="007B76A1"/>
    <w:rsid w:val="00866878"/>
    <w:rsid w:val="00991BC3"/>
    <w:rsid w:val="00997342"/>
    <w:rsid w:val="00A61F7E"/>
    <w:rsid w:val="00A813A4"/>
    <w:rsid w:val="00B02BE5"/>
    <w:rsid w:val="00B205E9"/>
    <w:rsid w:val="00B4307C"/>
    <w:rsid w:val="00D539BB"/>
    <w:rsid w:val="00D870ED"/>
    <w:rsid w:val="00DF772A"/>
    <w:rsid w:val="00E510B3"/>
    <w:rsid w:val="00E52A5A"/>
    <w:rsid w:val="00E52E48"/>
    <w:rsid w:val="00E820AB"/>
    <w:rsid w:val="00EA7EA5"/>
    <w:rsid w:val="00F22DBA"/>
    <w:rsid w:val="00F475B5"/>
    <w:rsid w:val="00F52F68"/>
    <w:rsid w:val="00F8304C"/>
    <w:rsid w:val="00F9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0D813D6"/>
  <w15:docId w15:val="{74E0E687-AFB3-488D-B499-6D4F9AFA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9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9B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aragraphestandard">
    <w:name w:val="[Paragraphe standard]"/>
    <w:basedOn w:val="Normal"/>
    <w:rsid w:val="00D53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fr-FR"/>
    </w:rPr>
  </w:style>
  <w:style w:type="character" w:styleId="Hyperlink">
    <w:name w:val="Hyperlink"/>
    <w:uiPriority w:val="99"/>
    <w:rsid w:val="00D539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BB"/>
    <w:rPr>
      <w:rFonts w:ascii="Tahoma" w:eastAsia="Times New Roman" w:hAnsi="Tahoma" w:cs="Tahoma"/>
      <w:sz w:val="16"/>
      <w:szCs w:val="16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D539B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ccineshoppe.com/image.cfm?doc_id=14054&amp;image_type=product_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ccineshoppe.com/image.cfm?doc_id=14052&amp;image_type=product_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vaccineshoppe.com/image.cfm?doc_id=14055&amp;image_type=product_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2003 (.doc)" ma:contentTypeID="0x0101002DA5341909F3834F84454F7778E62B7E003BE763C79E93A242A825B2E8F9A0CCF1" ma:contentTypeVersion="2" ma:contentTypeDescription="Content type for Word 2003 documents" ma:contentTypeScope="" ma:versionID="a73d1cf7aec679becd70abf7b81c9cd8">
  <xsd:schema xmlns:xsd="http://www.w3.org/2001/XMLSchema" xmlns:xs="http://www.w3.org/2001/XMLSchema" xmlns:p="http://schemas.microsoft.com/office/2006/metadata/properties" xmlns:ns2="c3afa6b4-431d-40fb-98e6-a9708d4ea459" targetNamespace="http://schemas.microsoft.com/office/2006/metadata/properties" ma:root="true" ma:fieldsID="cba776774485f5ebd746bd539eae1288" ns2:_="">
    <xsd:import namespace="c3afa6b4-431d-40fb-98e6-a9708d4ea4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fa6b4-431d-40fb-98e6-a9708d4ea4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8E805-8D72-4A33-BB7C-753E82127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FC3B6-B5B2-4375-BF80-5550FF25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fa6b4-431d-40fb-98e6-a9708d4ea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229A3-4A75-4427-9AFA-7705545171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Pallien, Emily</dc:creator>
  <cp:lastModifiedBy>Priya</cp:lastModifiedBy>
  <cp:revision>2</cp:revision>
  <cp:lastPrinted>2019-01-23T20:28:00Z</cp:lastPrinted>
  <dcterms:created xsi:type="dcterms:W3CDTF">2019-02-21T15:05:00Z</dcterms:created>
  <dcterms:modified xsi:type="dcterms:W3CDTF">2019-02-21T15:05:00Z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0x0101002DA5341909F3834F84454F7778E62B7E003BE763C79E93A242A825B2E8F9A0CCF1</vt:lpwstr>
  </property>
  <property fmtid="{D5CDD505-2E9C-101B-9397-08002B2CF9AE}" pid="3" name="_AdHocReviewCycleID">
    <vt:i4>1617038508</vt:i4>
  </property>
  <property fmtid="{D5CDD505-2E9C-101B-9397-08002B2CF9AE}" pid="4" name="_NewReviewCycle">
    <vt:lpwstr/>
  </property>
  <property fmtid="{D5CDD505-2E9C-101B-9397-08002B2CF9AE}" pid="5" name="_EmailSubject">
    <vt:lpwstr>Fluzone Quadrivalent (Influenza Vaccine) 0.5mL Dose is Now Approved for Children Six Months of Age and Older </vt:lpwstr>
  </property>
  <property fmtid="{D5CDD505-2E9C-101B-9397-08002B2CF9AE}" pid="6" name="_AuthorEmail">
    <vt:lpwstr>Bradley.Galvan@sanofi.com</vt:lpwstr>
  </property>
  <property fmtid="{D5CDD505-2E9C-101B-9397-08002B2CF9AE}" pid="7" name="_AuthorEmailDisplayName">
    <vt:lpwstr>Galvan, Bradley /US</vt:lpwstr>
  </property>
  <property fmtid="{D5CDD505-2E9C-101B-9397-08002B2CF9AE}" pid="8" name="_ReviewingToolsShownOnce">
    <vt:lpwstr/>
  </property>
</Properties>
</file>